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4"/>
          <w:lang w:eastAsia="zh-CN"/>
        </w:rPr>
      </w:pPr>
      <w:r>
        <w:rPr>
          <w:rFonts w:hint="eastAsia" w:ascii="黑体" w:hAnsi="黑体" w:eastAsia="黑体" w:cs="黑体"/>
          <w:bCs/>
          <w:sz w:val="24"/>
        </w:rPr>
        <w:t>附件</w:t>
      </w:r>
      <w:r>
        <w:rPr>
          <w:rFonts w:hint="eastAsia" w:ascii="黑体" w:hAnsi="黑体" w:eastAsia="黑体" w:cs="黑体"/>
          <w:bCs/>
          <w:sz w:val="24"/>
          <w:lang w:val="en-US" w:eastAsia="zh-CN"/>
        </w:rPr>
        <w:t>6</w:t>
      </w:r>
      <w:bookmarkStart w:id="0" w:name="_GoBack"/>
      <w:bookmarkEnd w:id="0"/>
    </w:p>
    <w:p>
      <w:pPr>
        <w:jc w:val="center"/>
        <w:rPr>
          <w:rFonts w:hint="default" w:ascii="方正小标宋简体" w:eastAsia="黑体"/>
          <w:szCs w:val="28"/>
          <w:lang w:val="en-US" w:eastAsia="zh-CN"/>
        </w:rPr>
      </w:pPr>
      <w:r>
        <w:rPr>
          <w:rFonts w:hint="eastAsia" w:ascii="黑体" w:hAnsi="黑体" w:eastAsia="黑体" w:cs="黑体"/>
          <w:bCs/>
          <w:szCs w:val="28"/>
        </w:rPr>
        <w:t>水利建设市场主体（咨询单位）</w:t>
      </w:r>
      <w:r>
        <w:rPr>
          <w:rFonts w:hint="eastAsia" w:ascii="黑体" w:hAnsi="黑体" w:eastAsia="黑体" w:cs="黑体"/>
          <w:bCs/>
          <w:szCs w:val="28"/>
          <w:lang w:val="en-US" w:eastAsia="zh-CN"/>
        </w:rPr>
        <w:t>自评得分表</w:t>
      </w:r>
    </w:p>
    <w:tbl>
      <w:tblPr>
        <w:tblStyle w:val="9"/>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99"/>
        <w:gridCol w:w="2267"/>
        <w:gridCol w:w="465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71"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一级指标</w:t>
            </w:r>
          </w:p>
        </w:tc>
        <w:tc>
          <w:tcPr>
            <w:tcW w:w="1299"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二级指标</w:t>
            </w:r>
          </w:p>
        </w:tc>
        <w:tc>
          <w:tcPr>
            <w:tcW w:w="2267"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三级指标</w:t>
            </w:r>
          </w:p>
        </w:tc>
        <w:tc>
          <w:tcPr>
            <w:tcW w:w="4656"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评价标准</w:t>
            </w:r>
          </w:p>
        </w:tc>
        <w:tc>
          <w:tcPr>
            <w:tcW w:w="1134"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得分</w:t>
            </w:r>
          </w:p>
        </w:tc>
        <w:tc>
          <w:tcPr>
            <w:tcW w:w="1134" w:type="dxa"/>
            <w:vAlign w:val="center"/>
          </w:tcPr>
          <w:p>
            <w:pPr>
              <w:jc w:val="center"/>
              <w:rPr>
                <w:rFonts w:hint="default" w:ascii="黑体" w:hAnsi="黑体" w:eastAsia="黑体" w:cs="黑体"/>
                <w:bCs/>
                <w:color w:val="000000" w:themeColor="text1"/>
                <w:sz w:val="18"/>
                <w:szCs w:val="18"/>
                <w:lang w:val="en-US" w:eastAsia="zh-CN"/>
                <w14:textFill>
                  <w14:solidFill>
                    <w14:schemeClr w14:val="tx1"/>
                  </w14:solidFill>
                </w14:textFill>
              </w:rPr>
            </w:pPr>
            <w:r>
              <w:rPr>
                <w:rFonts w:hint="eastAsia" w:ascii="黑体" w:hAnsi="黑体" w:eastAsia="黑体" w:cs="黑体"/>
                <w:bCs/>
                <w:color w:val="000000" w:themeColor="text1"/>
                <w:sz w:val="18"/>
                <w:szCs w:val="18"/>
                <w:lang w:val="en-US" w:eastAsia="zh-CN"/>
                <w14:textFill>
                  <w14:solidFill>
                    <w14:schemeClr w14:val="tx1"/>
                  </w14:solidFill>
                </w14:textFill>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综合素质（1）   （23分）</w:t>
            </w:r>
          </w:p>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经营规模（1-1）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咨询资信等级</w:t>
            </w:r>
          </w:p>
          <w:p>
            <w:pPr>
              <w:jc w:val="center"/>
              <w:rPr>
                <w:rFonts w:ascii="仿宋" w:hAnsi="仿宋" w:eastAsia="仿宋" w:cs="仿宋"/>
                <w:color w:val="000000" w:themeColor="text1"/>
                <w:spacing w:val="-8"/>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（或造价咨询资质</w:t>
            </w:r>
            <w:r>
              <w:rPr>
                <w:rFonts w:ascii="仿宋" w:hAnsi="仿宋" w:eastAsia="仿宋" w:cs="仿宋"/>
                <w:color w:val="000000" w:themeColor="text1"/>
                <w:spacing w:val="-8"/>
                <w:sz w:val="24"/>
                <w14:textFill>
                  <w14:solidFill>
                    <w14:schemeClr w14:val="tx1"/>
                  </w14:solidFill>
                </w14:textFill>
              </w:rPr>
              <w:t>）</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甲级</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乙级</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净资产为相应资信（质）标准要求数额的倍数</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1.2（含）～1.5倍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1.2倍以下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咨询年产值</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工程咨询甲级8000万元（含）以上</w:t>
            </w:r>
          </w:p>
        </w:tc>
        <w:tc>
          <w:tcPr>
            <w:tcW w:w="1134" w:type="dxa"/>
            <w:vMerge w:val="restart"/>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造价咨询甲级500万元（含）以上</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工程咨询乙级2000万元（含）以上</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造价咨询乙级200万元（含）以上</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工程咨询甲级4000万元（含）～8000万元</w:t>
            </w:r>
          </w:p>
        </w:tc>
        <w:tc>
          <w:tcPr>
            <w:tcW w:w="1134" w:type="dxa"/>
            <w:vMerge w:val="restart"/>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造价咨询甲级200万元（含）～500万元</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工程咨询乙级1000万元（含）～2000万元</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造价咨询乙级100万元（含）～200万元</w:t>
            </w:r>
          </w:p>
        </w:tc>
        <w:tc>
          <w:tcPr>
            <w:tcW w:w="1134" w:type="dxa"/>
            <w:vMerge w:val="continue"/>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低于上述标准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经营年限（1-2）   （3分）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咨询年限</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 年（含）以上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5（含）～10年</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5年以下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人员素质（1-3） （9分）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注册咨询工程师(或注册造价工程师)人数为相应资质要求人数的倍数</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1.2（含）～1.5倍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1（含）～1.2倍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其他注册工程师人数为相应资质要求人数的倍数</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0.2（含）～0.5倍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0.2倍以下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高级（含）以上职称员工占全体员工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比例</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0%（含）～</w:t>
            </w: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0%以下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管理层</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企业负责人综合</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具有本科（含）以上学历、高级（含）以上职称、行业工作年限5年（含）以上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上述条件有2项（含）以上不符合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技术负责人综合</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pacing w:val="-2"/>
                <w:sz w:val="24"/>
                <w14:textFill>
                  <w14:solidFill>
                    <w14:schemeClr w14:val="tx1"/>
                  </w14:solidFill>
                </w14:textFill>
              </w:rPr>
            </w:pPr>
            <w:r>
              <w:rPr>
                <w:rFonts w:hint="eastAsia" w:ascii="仿宋" w:hAnsi="仿宋" w:eastAsia="仿宋" w:cs="仿宋"/>
                <w:color w:val="000000" w:themeColor="text1"/>
                <w:spacing w:val="-2"/>
                <w:kern w:val="0"/>
                <w:sz w:val="24"/>
                <w14:textFill>
                  <w14:solidFill>
                    <w14:schemeClr w14:val="tx1"/>
                  </w14:solidFill>
                </w14:textFill>
              </w:rPr>
              <w:t>具有本科（含）以上学历、工程或工程经济类高级（含）以上职称、行业工作年限</w:t>
            </w:r>
            <w:r>
              <w:rPr>
                <w:rFonts w:ascii="仿宋" w:hAnsi="仿宋" w:eastAsia="仿宋" w:cs="仿宋"/>
                <w:color w:val="000000" w:themeColor="text1"/>
                <w:spacing w:val="-2"/>
                <w:kern w:val="0"/>
                <w:sz w:val="24"/>
                <w14:textFill>
                  <w14:solidFill>
                    <w14:schemeClr w14:val="tx1"/>
                  </w14:solidFill>
                </w14:textFill>
              </w:rPr>
              <w:t>5年（含）以上、有咨询工程师注册执业资格</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上述条件有2项（含）以上不符合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管理团队综合素质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中层以上干部本科（含）以上学历占80%（含） 以上、高级职称（含）以上占60%（含）以上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上述条件有2项不符合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财务状况（2）   （12分）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盈利能力</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主营业务收入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利润率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4%（含）～8%</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净资产收益率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6%（含）～10%</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偿债能力（2-2）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资产负债率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50%（含）以下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50%～60%（含）</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60%以上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流动比率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1（含）～2倍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1倍以下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运营能力（2-3）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应收账款周转率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1（含）～2</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总资产周转率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0.5（含）～1</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发展能力（2-4）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净资产平均增长率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2%（含）～5%</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主营业务收入平均增长率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5%（含）以上</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2%（含）～5%</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2%以下</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利润总额平均增</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长率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5%（含）以上</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2%（含）～5%</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2%以下</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管理水平（3）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制度建设（3-1）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（7分）</w:t>
            </w:r>
          </w:p>
        </w:tc>
        <w:tc>
          <w:tcPr>
            <w:tcW w:w="2267"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管理制度</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经营、生产、质量、安全、人事、财务、档案、分公司等制度健全得</w:t>
            </w: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分，每少1项扣0.5分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质量管理体系认证</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环境管理体系认证</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职业健康安全管理体系认证</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人力资源管理</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合法用工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企业及分公司按照相关法律法规聘用人员，签订用工合同，并为其办理社会保障等手续（事业单位人事证明齐全）</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2.5</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未能按照相关法律法规聘用人员、签订用工合同并为其办理社会保障等手续</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近3年专业技术人员年均参培率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信用管理（3-3）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信用部门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设立信用管理部门或明确信用管理工作归口管理部门，且有专职信用管理工作人员</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不满足以上要求</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门户网站</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设立门户网站，内容完整并及时更新</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未设立门户网站</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报告披露</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按照《企业信息公示暂行条例》的要求及时报送和披露年度报告、不良行为处罚记录等信息</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未报送和披露企业年度报告等信息</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创新能力（3-4）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年度研发经费投入与企业年营业收入比率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2%（含）或40 万元（含）以上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1%（含）～2%或15万元（含）～40 万元</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1%或15万元以下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近3年主编或参与编制技术标准或行业定额</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主编国家、行业标准，每项（N项）得2分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参编国家、行业标准，每项（N项）得1.5分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主编地方标准，每项（N项）得1.5分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参编地方标准，每项（N项）得1分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近3年获得专利、软件著作权</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近3年主编或参编与业务领域相关的、行业内的编著、专著或培训教材等（正式出版）</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主编每项（N项）得0.5分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参编每项（N项）得0.3分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年在国家级核心期刊或行业内认可的正式期刊发表论文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（3-4-5）</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核心期刊每篇（N篇）得0.5分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其他期刊每篇（N篇）得0.3分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科技进步奖获奖</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（3-4-6）</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国家、行业奖项，每项（N项）得2分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省级奖项，每项（N项）得1.5分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地市级奖项，每项（N项）得1分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工程勘察设计咨询奖获奖</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（3-4-7）</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国家、行业奖项，每项（N项）得2分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省级奖项，每项（N项）得1.5分，其他工程建设类奖项适用本评分标准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地市级奖项，每项（N项）得1分，其他工程建设类奖项适用本评分标准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利用互联网和信息系统开展生产管</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理等</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（3-4-8）</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_GB2312"/>
                <w:color w:val="000000" w:themeColor="text1"/>
                <w:spacing w:val="-6"/>
                <w:sz w:val="24"/>
                <w14:textFill>
                  <w14:solidFill>
                    <w14:schemeClr w14:val="tx1"/>
                  </w14:solidFill>
                </w14:textFill>
              </w:rPr>
            </w:pPr>
            <w:r>
              <w:rPr>
                <w:rFonts w:hint="eastAsia" w:ascii="仿宋" w:hAnsi="仿宋" w:eastAsia="仿宋" w:cs="仿宋_GB2312"/>
                <w:color w:val="000000" w:themeColor="text1"/>
                <w:spacing w:val="-6"/>
                <w:kern w:val="0"/>
                <w:sz w:val="24"/>
                <w14:textFill>
                  <w14:solidFill>
                    <w14:schemeClr w14:val="tx1"/>
                  </w14:solidFill>
                </w14:textFill>
              </w:rPr>
              <w:t>能用信息技术实现多专业项目高效协同提高工作效率，且能用BIM+技术提高产品质量</w:t>
            </w:r>
          </w:p>
        </w:tc>
        <w:tc>
          <w:tcPr>
            <w:tcW w:w="1134"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上述条件有</w:t>
            </w:r>
            <w:r>
              <w:rPr>
                <w:rFonts w:ascii="仿宋" w:hAnsi="仿宋" w:eastAsia="仿宋" w:cs="仿宋_GB2312"/>
                <w:kern w:val="0"/>
                <w:sz w:val="24"/>
              </w:rPr>
              <w:t>2</w:t>
            </w:r>
            <w:r>
              <w:rPr>
                <w:rFonts w:hint="eastAsia" w:ascii="仿宋" w:hAnsi="仿宋" w:eastAsia="仿宋" w:cs="仿宋_GB2312"/>
                <w:kern w:val="0"/>
                <w:sz w:val="24"/>
              </w:rPr>
              <w:t>项不符合</w:t>
            </w:r>
          </w:p>
        </w:tc>
        <w:tc>
          <w:tcPr>
            <w:tcW w:w="1134"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能用办公自动化（OA）等信息系统对企业的经营、生产、人事、行政、档案等进行管理</w:t>
            </w:r>
          </w:p>
        </w:tc>
        <w:tc>
          <w:tcPr>
            <w:tcW w:w="1134"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尚未实行办公自动化（OA）</w:t>
            </w:r>
          </w:p>
        </w:tc>
        <w:tc>
          <w:tcPr>
            <w:tcW w:w="1134"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发展战略（3-5）</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企业发展战略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制定发展战略规划</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未制定发展战略规划</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信用记录</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近3年良好行为</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记录</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县级以上人民政府、水行政主管部门、流域管理机构、相关社会团体的其他表彰或表扬</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国家、行业表彰或表扬，每项（N项）得2分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省级表彰或表扬，每项（N项）得1.5分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地市级表彰或表扬，每项（N项）得1分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县级表彰或表扬，每项（N项）得0.5分，但累计不超过2分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N×0.5</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企业参与抢险救灾、慈善公益活动</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（4-1-2）</w:t>
            </w:r>
          </w:p>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参与和支持社会公益事业活动，每项（N项）得1分</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近3年最新信用评价记录</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w:t>
            </w:r>
          </w:p>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（4分）</w:t>
            </w: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税务、金融信用评价诚信等级</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评为诚信等级，每项（N</w:t>
            </w:r>
            <w:r>
              <w:rPr>
                <w:rFonts w:ascii="仿宋" w:hAnsi="仿宋" w:eastAsia="仿宋" w:cs="仿宋"/>
                <w:color w:val="000000" w:themeColor="text1"/>
                <w:kern w:val="0"/>
                <w:sz w:val="24"/>
                <w:vertAlign w:val="subscript"/>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项）得1分，</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其中最高诚信等级，每项（N</w:t>
            </w:r>
            <w:r>
              <w:rPr>
                <w:rFonts w:ascii="仿宋" w:hAnsi="仿宋" w:eastAsia="仿宋" w:cs="仿宋"/>
                <w:color w:val="000000" w:themeColor="text1"/>
                <w:kern w:val="0"/>
                <w:sz w:val="24"/>
                <w:vertAlign w:val="subscript"/>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项）得2分</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w:t>
            </w:r>
            <w:r>
              <w:rPr>
                <w:rFonts w:ascii="仿宋" w:hAnsi="仿宋" w:eastAsia="仿宋" w:cs="仿宋"/>
                <w:color w:val="000000" w:themeColor="text1"/>
                <w:kern w:val="0"/>
                <w:sz w:val="24"/>
                <w:vertAlign w:val="subscript"/>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×1+N</w:t>
            </w:r>
            <w:r>
              <w:rPr>
                <w:rFonts w:ascii="仿宋" w:hAnsi="仿宋" w:eastAsia="仿宋" w:cs="仿宋"/>
                <w:color w:val="000000" w:themeColor="text1"/>
                <w:kern w:val="0"/>
                <w:sz w:val="24"/>
                <w:vertAlign w:val="subscript"/>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市场行为（5）</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近3年履行合同</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（20分）</w:t>
            </w: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工作进度</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（5-1-1）</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（6分）</w:t>
            </w:r>
          </w:p>
        </w:tc>
        <w:tc>
          <w:tcPr>
            <w:tcW w:w="4656" w:type="dxa"/>
            <w:vAlign w:val="center"/>
          </w:tcPr>
          <w:p>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工作进度满足合同约定：</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交付进度满意4～6分</w:t>
            </w: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基本满意1～3分</w:t>
            </w: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271" w:type="dxa"/>
            <w:vMerge w:val="continue"/>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成果质量</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成果质量达到规程、规范要求：</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4分；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271" w:type="dxa"/>
            <w:vMerge w:val="continue"/>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成果文件有编制、校核、审定三级质量控制记录：</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4分；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271" w:type="dxa"/>
            <w:vMerge w:val="continue"/>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tcPr>
          <w:p>
            <w:pPr>
              <w:jc w:val="center"/>
              <w:rPr>
                <w:rFonts w:ascii="仿宋" w:hAnsi="仿宋" w:eastAsia="仿宋" w:cs="仿宋"/>
                <w:color w:val="000000" w:themeColor="text1"/>
                <w:sz w:val="24"/>
                <w14:textFill>
                  <w14:solidFill>
                    <w14:schemeClr w14:val="tx1"/>
                  </w14:solidFill>
                </w14:textFill>
              </w:rPr>
            </w:pP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技术服务</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（5-1-3）</w:t>
            </w:r>
          </w:p>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在项目立项审批阶段或项目建设期能积极协助项目业主开展相关技术服务工作：</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6</w:t>
            </w:r>
            <w:r>
              <w:rPr>
                <w:rFonts w:hint="eastAsia" w:ascii="仿宋" w:hAnsi="仿宋" w:eastAsia="仿宋" w:cs="仿宋_GB2312"/>
                <w:color w:val="000000" w:themeColor="text1"/>
                <w:kern w:val="0"/>
                <w:sz w:val="24"/>
                <w14:textFill>
                  <w14:solidFill>
                    <w14:schemeClr w14:val="tx1"/>
                  </w14:solidFill>
                </w14:textFill>
              </w:rPr>
              <w:t>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1271" w:type="dxa"/>
            <w:vAlign w:val="center"/>
          </w:tcPr>
          <w:p>
            <w:pPr>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总得分</w:t>
            </w:r>
          </w:p>
        </w:tc>
        <w:tc>
          <w:tcPr>
            <w:tcW w:w="10490" w:type="dxa"/>
            <w:gridSpan w:val="5"/>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bl>
    <w:p>
      <w:pPr>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rPr>
          <w:rFonts w:ascii="仿宋" w:hAnsi="仿宋" w:eastAsia="仿宋" w:cs="仿宋"/>
          <w:sz w:val="24"/>
        </w:rPr>
      </w:pPr>
      <w:r>
        <w:rPr>
          <w:rFonts w:hint="eastAsia" w:ascii="仿宋" w:hAnsi="仿宋" w:eastAsia="仿宋" w:cs="仿宋"/>
          <w:sz w:val="24"/>
        </w:rPr>
        <w:t>注：</w:t>
      </w:r>
    </w:p>
    <w:p>
      <w:pPr>
        <w:numPr>
          <w:ilvl w:val="0"/>
          <w:numId w:val="1"/>
        </w:numPr>
        <w:jc w:val="left"/>
        <w:rPr>
          <w:rFonts w:ascii="仿宋" w:hAnsi="仿宋" w:eastAsia="仿宋" w:cs="仿宋"/>
          <w:sz w:val="24"/>
        </w:rPr>
      </w:pPr>
      <w:r>
        <w:rPr>
          <w:rFonts w:hint="eastAsia" w:ascii="仿宋" w:hAnsi="仿宋" w:eastAsia="仿宋" w:cs="仿宋"/>
          <w:sz w:val="24"/>
        </w:rPr>
        <w:t>咨询年限从首次取得工程咨询或造价咨询资质年份起算。</w:t>
      </w:r>
    </w:p>
    <w:p>
      <w:pPr>
        <w:numPr>
          <w:ilvl w:val="0"/>
          <w:numId w:val="1"/>
        </w:numPr>
        <w:jc w:val="left"/>
        <w:rPr>
          <w:rFonts w:ascii="仿宋" w:hAnsi="仿宋" w:eastAsia="仿宋" w:cs="仿宋"/>
          <w:sz w:val="24"/>
        </w:rPr>
      </w:pPr>
      <w:r>
        <w:rPr>
          <w:rFonts w:hint="eastAsia" w:ascii="仿宋" w:hAnsi="仿宋" w:eastAsia="仿宋" w:cs="仿宋"/>
          <w:sz w:val="24"/>
        </w:rPr>
        <w:t>净资产、人员素质、资产负债率、流动比率按申报前一年度数据计算；</w:t>
      </w:r>
      <w:r>
        <w:rPr>
          <w:rFonts w:ascii="仿宋" w:hAnsi="仿宋" w:eastAsia="仿宋" w:cs="仿宋"/>
          <w:sz w:val="24"/>
        </w:rPr>
        <w:t>资质</w:t>
      </w:r>
      <w:r>
        <w:rPr>
          <w:rFonts w:hint="eastAsia" w:ascii="仿宋" w:hAnsi="仿宋" w:eastAsia="仿宋" w:cs="仿宋"/>
          <w:sz w:val="24"/>
        </w:rPr>
        <w:t>标准未明确净资产要求时，相应</w:t>
      </w:r>
      <w:r>
        <w:rPr>
          <w:rFonts w:ascii="仿宋" w:hAnsi="仿宋" w:eastAsia="仿宋" w:cs="仿宋"/>
          <w:sz w:val="24"/>
        </w:rPr>
        <w:t>净资产</w:t>
      </w:r>
      <w:r>
        <w:rPr>
          <w:rFonts w:hint="eastAsia" w:ascii="仿宋" w:hAnsi="仿宋" w:eastAsia="仿宋" w:cs="仿宋"/>
          <w:sz w:val="24"/>
        </w:rPr>
        <w:t>标准为3000万元（含）以上、1000万元（含）～3000万元、1000万元以下。</w:t>
      </w:r>
    </w:p>
    <w:p>
      <w:pPr>
        <w:numPr>
          <w:ilvl w:val="0"/>
          <w:numId w:val="1"/>
        </w:numPr>
        <w:jc w:val="left"/>
        <w:rPr>
          <w:rFonts w:ascii="仿宋" w:hAnsi="仿宋" w:eastAsia="仿宋" w:cs="仿宋"/>
          <w:sz w:val="24"/>
        </w:rPr>
      </w:pPr>
      <w:r>
        <w:rPr>
          <w:rFonts w:hint="eastAsia" w:ascii="仿宋" w:hAnsi="仿宋" w:eastAsia="仿宋" w:cs="仿宋"/>
          <w:sz w:val="24"/>
        </w:rPr>
        <w:t>人员素质注册人员一项中，相应资（信）质要求人数为主营业务资质要求的注册工程师数量，其他注册工程师是指水利水电工程建设领域注册类工程师，尚未施行注册的专业按资质管理的相关规定计算。</w:t>
      </w:r>
    </w:p>
    <w:p>
      <w:pPr>
        <w:numPr>
          <w:ilvl w:val="0"/>
          <w:numId w:val="1"/>
        </w:numPr>
        <w:jc w:val="left"/>
        <w:rPr>
          <w:rFonts w:ascii="仿宋" w:hAnsi="仿宋" w:eastAsia="仿宋" w:cs="仿宋"/>
          <w:sz w:val="24"/>
        </w:rPr>
      </w:pPr>
      <w:r>
        <w:rPr>
          <w:rFonts w:hint="eastAsia" w:ascii="仿宋" w:hAnsi="仿宋" w:eastAsia="仿宋" w:cs="仿宋"/>
          <w:sz w:val="24"/>
        </w:rPr>
        <w:t>工程咨询（或造价咨询）年产值、主营业务利润率、净资产收益率、应收账款周转率、总资产周转率为近3年平均值。</w:t>
      </w:r>
    </w:p>
    <w:p>
      <w:pPr>
        <w:numPr>
          <w:ilvl w:val="0"/>
          <w:numId w:val="1"/>
        </w:numPr>
        <w:jc w:val="left"/>
        <w:rPr>
          <w:rFonts w:ascii="仿宋" w:hAnsi="仿宋" w:eastAsia="仿宋" w:cs="仿宋"/>
          <w:sz w:val="24"/>
        </w:rPr>
      </w:pPr>
      <w:r>
        <w:rPr>
          <w:rFonts w:hint="eastAsia" w:ascii="仿宋" w:hAnsi="仿宋" w:eastAsia="仿宋" w:cs="仿宋"/>
          <w:sz w:val="24"/>
        </w:rPr>
        <w:t>主营业务利润率=（主营业务利润/主营业务收入）×100%。</w:t>
      </w:r>
    </w:p>
    <w:p>
      <w:pPr>
        <w:numPr>
          <w:ilvl w:val="0"/>
          <w:numId w:val="1"/>
        </w:numPr>
        <w:jc w:val="left"/>
        <w:rPr>
          <w:rFonts w:ascii="仿宋" w:hAnsi="仿宋" w:eastAsia="仿宋" w:cs="仿宋"/>
          <w:sz w:val="24"/>
        </w:rPr>
      </w:pPr>
      <w:r>
        <w:rPr>
          <w:rFonts w:hint="eastAsia" w:ascii="仿宋" w:hAnsi="仿宋" w:eastAsia="仿宋" w:cs="仿宋"/>
          <w:sz w:val="24"/>
        </w:rPr>
        <w:t>净资产收益率＝（净利润/平均净资产）×100%。</w:t>
      </w:r>
    </w:p>
    <w:p>
      <w:pPr>
        <w:numPr>
          <w:ilvl w:val="0"/>
          <w:numId w:val="1"/>
        </w:numPr>
        <w:jc w:val="left"/>
        <w:rPr>
          <w:rFonts w:ascii="仿宋" w:hAnsi="仿宋" w:eastAsia="仿宋" w:cs="仿宋"/>
          <w:sz w:val="24"/>
        </w:rPr>
      </w:pPr>
      <w:r>
        <w:rPr>
          <w:rFonts w:hint="eastAsia" w:ascii="仿宋" w:hAnsi="仿宋" w:eastAsia="仿宋" w:cs="仿宋"/>
          <w:sz w:val="24"/>
        </w:rPr>
        <w:t>资产负债率＝（年末负债总额/年末资产总额）×100%。</w:t>
      </w:r>
    </w:p>
    <w:p>
      <w:pPr>
        <w:numPr>
          <w:ilvl w:val="0"/>
          <w:numId w:val="1"/>
        </w:numPr>
        <w:jc w:val="left"/>
        <w:rPr>
          <w:rFonts w:ascii="仿宋" w:hAnsi="仿宋" w:eastAsia="仿宋" w:cs="仿宋"/>
          <w:sz w:val="24"/>
        </w:rPr>
      </w:pPr>
      <w:r>
        <w:rPr>
          <w:rFonts w:hint="eastAsia" w:ascii="仿宋" w:hAnsi="仿宋" w:eastAsia="仿宋" w:cs="仿宋"/>
          <w:sz w:val="24"/>
        </w:rPr>
        <w:t>流动比率=（流动资产/流动负债）×100%。</w:t>
      </w:r>
    </w:p>
    <w:p>
      <w:pPr>
        <w:numPr>
          <w:ilvl w:val="0"/>
          <w:numId w:val="1"/>
        </w:numPr>
        <w:jc w:val="left"/>
        <w:rPr>
          <w:rFonts w:ascii="仿宋" w:hAnsi="仿宋" w:eastAsia="仿宋" w:cs="仿宋"/>
          <w:sz w:val="24"/>
        </w:rPr>
      </w:pPr>
      <w:r>
        <w:rPr>
          <w:rFonts w:hint="eastAsia" w:ascii="仿宋" w:hAnsi="仿宋" w:eastAsia="仿宋" w:cs="仿宋"/>
          <w:sz w:val="24"/>
        </w:rPr>
        <w:t>应收账款周转率＝（主营业务收入/应收账款平均余额）×100%。</w:t>
      </w:r>
    </w:p>
    <w:p>
      <w:pPr>
        <w:ind w:firstLine="240" w:firstLineChars="100"/>
        <w:jc w:val="left"/>
        <w:rPr>
          <w:rFonts w:ascii="仿宋" w:hAnsi="仿宋" w:eastAsia="仿宋" w:cs="仿宋"/>
          <w:sz w:val="24"/>
        </w:rPr>
      </w:pPr>
      <w:r>
        <w:rPr>
          <w:rFonts w:hint="eastAsia" w:ascii="仿宋" w:hAnsi="仿宋" w:eastAsia="仿宋" w:cs="仿宋"/>
          <w:sz w:val="24"/>
        </w:rPr>
        <w:t>其中：应收账款平均余额＝（期初应收账款＋期末应收账款）/2。</w:t>
      </w:r>
    </w:p>
    <w:p>
      <w:pPr>
        <w:numPr>
          <w:ilvl w:val="0"/>
          <w:numId w:val="1"/>
        </w:numPr>
        <w:jc w:val="left"/>
        <w:rPr>
          <w:rFonts w:ascii="仿宋" w:hAnsi="仿宋" w:eastAsia="仿宋" w:cs="仿宋"/>
          <w:sz w:val="24"/>
        </w:rPr>
      </w:pPr>
      <w:r>
        <w:rPr>
          <w:rFonts w:hint="eastAsia" w:ascii="仿宋" w:hAnsi="仿宋" w:eastAsia="仿宋" w:cs="仿宋"/>
          <w:sz w:val="24"/>
        </w:rPr>
        <w:t>总资产周转率＝（主营业务收入/平均资产总额）×100%。</w:t>
      </w:r>
    </w:p>
    <w:p>
      <w:pPr>
        <w:jc w:val="left"/>
        <w:rPr>
          <w:rFonts w:ascii="仿宋" w:hAnsi="仿宋" w:eastAsia="仿宋" w:cs="仿宋"/>
          <w:sz w:val="24"/>
        </w:rPr>
      </w:pPr>
      <w:r>
        <w:rPr>
          <w:rFonts w:ascii="仿宋" w:hAnsi="仿宋" w:eastAsia="仿宋" w:cs="仿宋"/>
          <w:sz w:val="24"/>
        </w:rPr>
        <w:drawing>
          <wp:anchor distT="0" distB="0" distL="114300" distR="114300" simplePos="0" relativeHeight="251660288" behindDoc="0" locked="0" layoutInCell="1" allowOverlap="1">
            <wp:simplePos x="0" y="0"/>
            <wp:positionH relativeFrom="column">
              <wp:posOffset>2092325</wp:posOffset>
            </wp:positionH>
            <wp:positionV relativeFrom="paragraph">
              <wp:posOffset>64135</wp:posOffset>
            </wp:positionV>
            <wp:extent cx="1583690" cy="739775"/>
            <wp:effectExtent l="0" t="0" r="0" b="317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83690" cy="739775"/>
                    </a:xfrm>
                    <a:prstGeom prst="rect">
                      <a:avLst/>
                    </a:prstGeom>
                    <a:noFill/>
                  </pic:spPr>
                </pic:pic>
              </a:graphicData>
            </a:graphic>
          </wp:anchor>
        </w:drawing>
      </w:r>
    </w:p>
    <w:p>
      <w:pPr>
        <w:jc w:val="left"/>
        <w:rPr>
          <w:rFonts w:ascii="仿宋" w:hAnsi="仿宋" w:eastAsia="仿宋" w:cs="仿宋"/>
          <w:sz w:val="24"/>
        </w:rPr>
      </w:pPr>
    </w:p>
    <w:p>
      <w:pPr>
        <w:numPr>
          <w:ilvl w:val="0"/>
          <w:numId w:val="1"/>
        </w:numPr>
        <w:jc w:val="left"/>
        <w:rPr>
          <w:rFonts w:ascii="仿宋" w:hAnsi="仿宋" w:eastAsia="仿宋" w:cs="仿宋"/>
          <w:sz w:val="24"/>
        </w:rPr>
      </w:pPr>
      <w:r>
        <w:rPr>
          <w:rFonts w:hint="eastAsia" w:ascii="仿宋" w:hAnsi="仿宋" w:eastAsia="仿宋" w:cs="仿宋"/>
          <w:sz w:val="24"/>
        </w:rPr>
        <w:t>近3年净资产平均增长率=                       。</w:t>
      </w:r>
    </w:p>
    <w:p>
      <w:pPr>
        <w:jc w:val="left"/>
        <w:rPr>
          <w:rFonts w:ascii="仿宋" w:hAnsi="仿宋" w:eastAsia="仿宋" w:cs="仿宋"/>
          <w:sz w:val="24"/>
        </w:rPr>
      </w:pPr>
      <w:r>
        <w:rPr>
          <w:rFonts w:ascii="仿宋" w:hAnsi="仿宋" w:eastAsia="仿宋" w:cs="仿宋"/>
          <w:sz w:val="24"/>
        </w:rPr>
        <w:drawing>
          <wp:anchor distT="0" distB="0" distL="114300" distR="114300" simplePos="0" relativeHeight="251659264" behindDoc="0" locked="0" layoutInCell="1" allowOverlap="1">
            <wp:simplePos x="0" y="0"/>
            <wp:positionH relativeFrom="column">
              <wp:posOffset>2493645</wp:posOffset>
            </wp:positionH>
            <wp:positionV relativeFrom="paragraph">
              <wp:posOffset>86360</wp:posOffset>
            </wp:positionV>
            <wp:extent cx="1455420" cy="72771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5420" cy="727710"/>
                    </a:xfrm>
                    <a:prstGeom prst="rect">
                      <a:avLst/>
                    </a:prstGeom>
                    <a:noFill/>
                  </pic:spPr>
                </pic:pic>
              </a:graphicData>
            </a:graphic>
          </wp:anchor>
        </w:drawing>
      </w:r>
    </w:p>
    <w:p>
      <w:pPr>
        <w:jc w:val="left"/>
        <w:rPr>
          <w:rFonts w:ascii="仿宋" w:hAnsi="仿宋" w:eastAsia="仿宋" w:cs="仿宋"/>
          <w:sz w:val="24"/>
        </w:rPr>
      </w:pPr>
    </w:p>
    <w:p>
      <w:pPr>
        <w:numPr>
          <w:ilvl w:val="0"/>
          <w:numId w:val="1"/>
        </w:numPr>
        <w:jc w:val="left"/>
        <w:rPr>
          <w:rFonts w:ascii="仿宋" w:hAnsi="仿宋" w:eastAsia="仿宋" w:cs="仿宋"/>
          <w:sz w:val="24"/>
        </w:rPr>
      </w:pPr>
      <w:r>
        <w:rPr>
          <w:rFonts w:hint="eastAsia" w:ascii="仿宋" w:hAnsi="仿宋" w:eastAsia="仿宋" w:cs="仿宋"/>
          <w:sz w:val="24"/>
        </w:rPr>
        <w:t>近3年主营业务收入平均增长率=                    。</w:t>
      </w:r>
    </w:p>
    <w:p>
      <w:pPr>
        <w:jc w:val="left"/>
        <w:rPr>
          <w:rFonts w:ascii="仿宋" w:hAnsi="仿宋" w:eastAsia="仿宋" w:cs="仿宋"/>
          <w:sz w:val="24"/>
        </w:rPr>
      </w:pPr>
      <w:r>
        <w:rPr>
          <w:rFonts w:ascii="仿宋" w:hAnsi="仿宋" w:eastAsia="仿宋" w:cs="仿宋"/>
          <w:sz w:val="24"/>
        </w:rPr>
        <w:drawing>
          <wp:anchor distT="0" distB="0" distL="114300" distR="114300" simplePos="0" relativeHeight="251661312" behindDoc="0" locked="0" layoutInCell="1" allowOverlap="1">
            <wp:simplePos x="0" y="0"/>
            <wp:positionH relativeFrom="column">
              <wp:posOffset>2193290</wp:posOffset>
            </wp:positionH>
            <wp:positionV relativeFrom="paragraph">
              <wp:posOffset>147955</wp:posOffset>
            </wp:positionV>
            <wp:extent cx="1426845" cy="728345"/>
            <wp:effectExtent l="0" t="0" r="190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6845" cy="728345"/>
                    </a:xfrm>
                    <a:prstGeom prst="rect">
                      <a:avLst/>
                    </a:prstGeom>
                    <a:noFill/>
                  </pic:spPr>
                </pic:pic>
              </a:graphicData>
            </a:graphic>
          </wp:anchor>
        </w:drawing>
      </w:r>
    </w:p>
    <w:p>
      <w:pPr>
        <w:jc w:val="left"/>
        <w:rPr>
          <w:rFonts w:ascii="仿宋" w:hAnsi="仿宋" w:eastAsia="仿宋" w:cs="仿宋"/>
          <w:sz w:val="24"/>
        </w:rPr>
      </w:pPr>
    </w:p>
    <w:p>
      <w:pPr>
        <w:numPr>
          <w:ilvl w:val="0"/>
          <w:numId w:val="1"/>
        </w:numPr>
        <w:jc w:val="left"/>
        <w:rPr>
          <w:rFonts w:ascii="仿宋" w:hAnsi="仿宋" w:eastAsia="仿宋" w:cs="仿宋"/>
          <w:sz w:val="24"/>
        </w:rPr>
      </w:pPr>
      <w:r>
        <w:rPr>
          <w:rFonts w:hint="eastAsia" w:ascii="仿宋" w:hAnsi="仿宋" w:eastAsia="仿宋" w:cs="仿宋"/>
          <w:sz w:val="24"/>
        </w:rPr>
        <w:t>近3年利润总额平均增长率=                    。</w:t>
      </w:r>
    </w:p>
    <w:p>
      <w:pPr>
        <w:jc w:val="left"/>
        <w:rPr>
          <w:rFonts w:ascii="仿宋" w:hAnsi="仿宋" w:eastAsia="仿宋" w:cs="仿宋"/>
          <w:sz w:val="24"/>
        </w:rPr>
      </w:pPr>
    </w:p>
    <w:p>
      <w:pPr>
        <w:jc w:val="left"/>
        <w:rPr>
          <w:rFonts w:ascii="仿宋" w:hAnsi="仿宋" w:eastAsia="仿宋" w:cs="仿宋"/>
          <w:sz w:val="24"/>
        </w:rPr>
      </w:pPr>
    </w:p>
    <w:p>
      <w:pPr>
        <w:numPr>
          <w:ilvl w:val="0"/>
          <w:numId w:val="1"/>
        </w:numPr>
        <w:jc w:val="left"/>
        <w:rPr>
          <w:rFonts w:ascii="仿宋" w:hAnsi="仿宋" w:eastAsia="仿宋" w:cs="仿宋"/>
          <w:sz w:val="24"/>
        </w:rPr>
      </w:pPr>
      <w:r>
        <w:rPr>
          <w:rFonts w:hint="eastAsia" w:ascii="仿宋" w:hAnsi="仿宋" w:eastAsia="仿宋" w:cs="仿宋"/>
          <w:sz w:val="24"/>
        </w:rPr>
        <w:t>管理层素质中企业负责人指董事长、总经理、院长；管理团队指中层及以上管理人员。</w:t>
      </w:r>
    </w:p>
    <w:p>
      <w:pPr>
        <w:numPr>
          <w:ilvl w:val="0"/>
          <w:numId w:val="1"/>
        </w:numPr>
        <w:jc w:val="left"/>
        <w:rPr>
          <w:rFonts w:ascii="仿宋" w:hAnsi="仿宋" w:eastAsia="仿宋" w:cs="仿宋"/>
          <w:sz w:val="24"/>
        </w:rPr>
      </w:pPr>
      <w:r>
        <w:rPr>
          <w:rFonts w:hint="eastAsia" w:ascii="仿宋" w:hAnsi="仿宋" w:eastAsia="仿宋" w:cs="仿宋"/>
          <w:sz w:val="24"/>
        </w:rPr>
        <w:t>创新能力证明材料应与工程建设领域相关。</w:t>
      </w:r>
    </w:p>
    <w:p>
      <w:pPr>
        <w:numPr>
          <w:ilvl w:val="0"/>
          <w:numId w:val="1"/>
        </w:numPr>
        <w:jc w:val="left"/>
        <w:rPr>
          <w:rFonts w:ascii="仿宋" w:hAnsi="仿宋" w:eastAsia="仿宋" w:cs="仿宋"/>
          <w:sz w:val="24"/>
        </w:rPr>
      </w:pPr>
      <w:r>
        <w:rPr>
          <w:rFonts w:hint="eastAsia" w:ascii="仿宋" w:hAnsi="仿宋" w:eastAsia="仿宋" w:cs="仿宋"/>
          <w:sz w:val="24"/>
        </w:rPr>
        <w:t>专业技术人员参培率为每年参与培训的专业技术人员占专业技术人员总数的百分比，3年参培率的平均值为近3年参培率。</w:t>
      </w:r>
    </w:p>
    <w:p>
      <w:pPr>
        <w:numPr>
          <w:ilvl w:val="0"/>
          <w:numId w:val="1"/>
        </w:numPr>
        <w:jc w:val="left"/>
        <w:rPr>
          <w:rFonts w:ascii="仿宋" w:hAnsi="仿宋" w:eastAsia="仿宋" w:cs="仿宋"/>
          <w:sz w:val="24"/>
        </w:rPr>
      </w:pPr>
      <w:r>
        <w:rPr>
          <w:rFonts w:hint="eastAsia" w:ascii="仿宋" w:hAnsi="仿宋" w:eastAsia="仿宋" w:cs="仿宋"/>
          <w:sz w:val="24"/>
        </w:rPr>
        <w:t>三级指标评价得分不超过本级指标分值，二级指标对应的三级指标累计得分不超过该项二级指标总分。</w:t>
      </w:r>
    </w:p>
    <w:p>
      <w:pPr>
        <w:pStyle w:val="26"/>
        <w:numPr>
          <w:ilvl w:val="0"/>
          <w:numId w:val="1"/>
        </w:numPr>
        <w:ind w:firstLineChars="0"/>
        <w:rPr>
          <w:rFonts w:ascii="仿宋" w:hAnsi="仿宋" w:eastAsia="仿宋" w:cs="仿宋"/>
          <w:sz w:val="24"/>
        </w:rPr>
      </w:pPr>
      <w:r>
        <w:rPr>
          <w:rFonts w:hint="eastAsia" w:ascii="仿宋" w:hAnsi="仿宋" w:eastAsia="仿宋" w:cs="仿宋"/>
          <w:sz w:val="24"/>
        </w:rPr>
        <w:t>根据全国水利建设市场监管服务平台披露的近3年水利水电工程咨询项目，选取有代表性的项目（每年不少于3个或3年不少于10个），提供相应的合同文件、批复文件（或正式审查意见）及业主证明文件材料。业主证明文件按照制定的统一格式提交，业主需分类、分项进行赋分，经省级及以上水行政主管部门审核确认，由</w:t>
      </w:r>
      <w:r>
        <w:rPr>
          <w:rFonts w:hint="eastAsia" w:ascii="仿宋" w:hAnsi="仿宋" w:eastAsia="仿宋" w:cs="仿宋_GB2312"/>
          <w:sz w:val="24"/>
          <w:lang w:eastAsia="zh-CN"/>
        </w:rPr>
        <w:t>榆林市水利局</w:t>
      </w:r>
      <w:r>
        <w:rPr>
          <w:rFonts w:hint="eastAsia" w:ascii="仿宋" w:hAnsi="仿宋" w:eastAsia="仿宋" w:cs="仿宋"/>
          <w:sz w:val="24"/>
        </w:rPr>
        <w:t>进行加权平均赋分。</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0F8089-C4F5-4EE2-B1CC-3E41183E06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561FE6-7B3B-4775-8549-053A7B2E22D5}"/>
  </w:font>
  <w:font w:name="仿宋">
    <w:panose1 w:val="02010609060101010101"/>
    <w:charset w:val="86"/>
    <w:family w:val="modern"/>
    <w:pitch w:val="default"/>
    <w:sig w:usb0="800002BF" w:usb1="38CF7CFA" w:usb2="00000016" w:usb3="00000000" w:csb0="00040001" w:csb1="00000000"/>
    <w:embedRegular r:id="rId3" w:fontKey="{49F13BBE-F0C8-4027-8650-2DE5D338A716}"/>
  </w:font>
  <w:font w:name="仿宋_GB2312">
    <w:panose1 w:val="02010609030101010101"/>
    <w:charset w:val="86"/>
    <w:family w:val="modern"/>
    <w:pitch w:val="default"/>
    <w:sig w:usb0="00000001" w:usb1="080E0000" w:usb2="00000000" w:usb3="00000000" w:csb0="00040000" w:csb1="00000000"/>
    <w:embedRegular r:id="rId4" w:fontKey="{AD153F00-DA10-4937-B169-2686E22A6CE7}"/>
  </w:font>
  <w:font w:name="方正小标宋简体">
    <w:panose1 w:val="03000509000000000000"/>
    <w:charset w:val="86"/>
    <w:family w:val="script"/>
    <w:pitch w:val="default"/>
    <w:sig w:usb0="00000001" w:usb1="080E0000" w:usb2="00000000" w:usb3="00000000" w:csb0="00040000" w:csb1="00000000"/>
    <w:embedRegular r:id="rId5" w:fontKey="{40A7A7BC-CD6F-4EAC-92D7-29728CDA3C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EA995"/>
    <w:multiLevelType w:val="singleLevel"/>
    <w:tmpl w:val="AC7EA995"/>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117139"/>
    <w:rsid w:val="00117D35"/>
    <w:rsid w:val="001249C4"/>
    <w:rsid w:val="00125E3F"/>
    <w:rsid w:val="0012798A"/>
    <w:rsid w:val="00132C9F"/>
    <w:rsid w:val="001345CD"/>
    <w:rsid w:val="00140847"/>
    <w:rsid w:val="001450D5"/>
    <w:rsid w:val="00155E33"/>
    <w:rsid w:val="00161671"/>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446D0"/>
    <w:rsid w:val="00353CD6"/>
    <w:rsid w:val="00356DEF"/>
    <w:rsid w:val="00357E98"/>
    <w:rsid w:val="00383CD6"/>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6041D5"/>
    <w:rsid w:val="006046EA"/>
    <w:rsid w:val="00604BF5"/>
    <w:rsid w:val="006060BC"/>
    <w:rsid w:val="006111E3"/>
    <w:rsid w:val="0061383A"/>
    <w:rsid w:val="00615160"/>
    <w:rsid w:val="006222E0"/>
    <w:rsid w:val="006246D0"/>
    <w:rsid w:val="00626F83"/>
    <w:rsid w:val="0063197B"/>
    <w:rsid w:val="00633335"/>
    <w:rsid w:val="00637C6F"/>
    <w:rsid w:val="00642E9E"/>
    <w:rsid w:val="006509F0"/>
    <w:rsid w:val="00651767"/>
    <w:rsid w:val="00656670"/>
    <w:rsid w:val="00662FF9"/>
    <w:rsid w:val="00665B49"/>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5DAA"/>
    <w:rsid w:val="006B73AA"/>
    <w:rsid w:val="006D3B7D"/>
    <w:rsid w:val="006D4C29"/>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61E3F"/>
    <w:rsid w:val="007712C3"/>
    <w:rsid w:val="00773A08"/>
    <w:rsid w:val="00774A72"/>
    <w:rsid w:val="007770E7"/>
    <w:rsid w:val="0078085D"/>
    <w:rsid w:val="00783D1D"/>
    <w:rsid w:val="00784BE6"/>
    <w:rsid w:val="00792540"/>
    <w:rsid w:val="00793A90"/>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538D"/>
    <w:rsid w:val="00B424CA"/>
    <w:rsid w:val="00B43603"/>
    <w:rsid w:val="00B43880"/>
    <w:rsid w:val="00B445AA"/>
    <w:rsid w:val="00B46C0D"/>
    <w:rsid w:val="00B50191"/>
    <w:rsid w:val="00B512C7"/>
    <w:rsid w:val="00B5316E"/>
    <w:rsid w:val="00B553F2"/>
    <w:rsid w:val="00B5586E"/>
    <w:rsid w:val="00B577BB"/>
    <w:rsid w:val="00B6016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3894"/>
    <w:rsid w:val="00BE4C52"/>
    <w:rsid w:val="00BE59D3"/>
    <w:rsid w:val="00BF3D54"/>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F62"/>
    <w:rsid w:val="00DB74AF"/>
    <w:rsid w:val="00DC05E6"/>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0117DD"/>
    <w:rsid w:val="093446A9"/>
    <w:rsid w:val="09A00D3E"/>
    <w:rsid w:val="09CA146A"/>
    <w:rsid w:val="0B091179"/>
    <w:rsid w:val="0B0A29FA"/>
    <w:rsid w:val="0BAB6D4E"/>
    <w:rsid w:val="0DB67A03"/>
    <w:rsid w:val="0F15763E"/>
    <w:rsid w:val="0F2C39AB"/>
    <w:rsid w:val="0FD128CA"/>
    <w:rsid w:val="10906CF7"/>
    <w:rsid w:val="10E94A1A"/>
    <w:rsid w:val="1195298F"/>
    <w:rsid w:val="12947D78"/>
    <w:rsid w:val="12D575C5"/>
    <w:rsid w:val="13287419"/>
    <w:rsid w:val="13EE1F86"/>
    <w:rsid w:val="1718324C"/>
    <w:rsid w:val="1A49102B"/>
    <w:rsid w:val="1B150431"/>
    <w:rsid w:val="1BBC717F"/>
    <w:rsid w:val="1D731563"/>
    <w:rsid w:val="1DD51CFC"/>
    <w:rsid w:val="1E287DC8"/>
    <w:rsid w:val="1EB506AE"/>
    <w:rsid w:val="1EF013F4"/>
    <w:rsid w:val="20107F8F"/>
    <w:rsid w:val="20257D39"/>
    <w:rsid w:val="20664671"/>
    <w:rsid w:val="22B36A82"/>
    <w:rsid w:val="239F6ED1"/>
    <w:rsid w:val="23C703BE"/>
    <w:rsid w:val="24F10BC8"/>
    <w:rsid w:val="255000B4"/>
    <w:rsid w:val="27506E95"/>
    <w:rsid w:val="276864ED"/>
    <w:rsid w:val="2B711837"/>
    <w:rsid w:val="2B743023"/>
    <w:rsid w:val="2C607675"/>
    <w:rsid w:val="2D9B0CA4"/>
    <w:rsid w:val="2DD746BE"/>
    <w:rsid w:val="2FBD2E32"/>
    <w:rsid w:val="32091E74"/>
    <w:rsid w:val="327967E7"/>
    <w:rsid w:val="33900978"/>
    <w:rsid w:val="34317915"/>
    <w:rsid w:val="344A531E"/>
    <w:rsid w:val="35442E64"/>
    <w:rsid w:val="36774707"/>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796AF4"/>
    <w:rsid w:val="52CD5A76"/>
    <w:rsid w:val="54DD4685"/>
    <w:rsid w:val="54E92EB0"/>
    <w:rsid w:val="54EA0934"/>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F0D6487"/>
    <w:rsid w:val="6F370DB2"/>
    <w:rsid w:val="70B74F1F"/>
    <w:rsid w:val="711C4830"/>
    <w:rsid w:val="722D679C"/>
    <w:rsid w:val="75CF192D"/>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qFormat/>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81BF9-6C78-4B9C-8DBC-86F91E840DF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3587</Words>
  <Characters>4063</Characters>
  <Lines>35</Lines>
  <Paragraphs>9</Paragraphs>
  <TotalTime>1</TotalTime>
  <ScaleCrop>false</ScaleCrop>
  <LinksUpToDate>false</LinksUpToDate>
  <CharactersWithSpaces>4140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2019-12-09T09:08:00Z</dcterms:created>
  <dc:creator>mtxx121@outlook.com</dc:creator>
  <cp:lastModifiedBy>小跑</cp:lastModifiedBy>
  <cp:lastPrinted>2019-12-09T01:08:00Z</cp:lastPrinted>
  <dcterms:modified xsi:type="dcterms:W3CDTF">2022-03-31T01:57:15Z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552C8EC8DF644BE5A887FD2317B22F35</vt:lpwstr>
  </property>
</Properties>
</file>