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水利行业“安全生产月”活动方案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一、“一把手”谈安全生产活动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期间，邀请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各县市区水利局、各有关单位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撰写以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贯彻落实习近平总书记关于安全生产重要论述、持续深入推进水利安全生产风险管控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“六项机制”落地见效</w:t>
      </w:r>
      <w:r>
        <w:rPr>
          <w:rFonts w:hint="eastAsia" w:ascii="仿宋_GB2312" w:hAnsi="仿宋_GB2312" w:eastAsia="仿宋_GB2312" w:cs="仿宋_GB2312"/>
          <w:sz w:val="32"/>
          <w:szCs w:val="32"/>
        </w:rPr>
        <w:t>为主题的署名文章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围绕以下一个方面或多个方面展开，谈如何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树牢安全发展理念、统筹发展和安全、压实安全生产责任、推动落实“六项机制”具体措施等。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文章应紧密结合本地区、本单位实际，观点鲜明、层次清楚、文字简练，字数在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000字左右。请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6月15日前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将稿件报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张慧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0912-8192939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"mailto:616292641@qq.co"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1173817914@qq.co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二、水利安全生产风险管控“六项机制”网络答题活动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（一）活动对象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部机关和部直属各单位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地方各级水行政主管部门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水利生产经营单位的干部职工。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时间和方式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时间。</w:t>
      </w:r>
      <w:r>
        <w:rPr>
          <w:rFonts w:hint="eastAsia" w:ascii="仿宋_GB2312" w:hAnsi="仿宋_GB2312" w:eastAsia="仿宋_GB2312" w:cs="仿宋_GB2312"/>
          <w:sz w:val="32"/>
          <w:szCs w:val="32"/>
        </w:rPr>
        <w:t>5月25日8:00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在网页端和移动端同步开通，发布学习资料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日开始答题，6月30日23:00答题通道关闭。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2.方式。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采用线上答题的方式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可登录水利监督网或水利部建设管理与质量安全中心网，点击“水利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安全生产风险管控‘六项机制’网络答题活动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”活动专栏，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日前完成单位信息核对和用户注册等工作。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在参赛注册填写个人信息环节时必须勾选“单位主要负责人”选项，并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其在单位中所担任的职务。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参与单位可设置1名管理员（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先注册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用户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，通过电子邮箱提交授权单位管理员申请，申请材料包括单位法人证书、授权说明（注明被授权人姓名、手机号码等）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盖章（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单位章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有单位名称的部门章）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，申请通过后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单位管理员可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对本单位参赛人员成绩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信息进行筛选、查询、导出。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内容</w:t>
      </w: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与学时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习近平总书记关于安全生产的重要论述、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安全生产法、《构建水利安全生产风险管控“六项机制”的实施意见》、202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年全国水利工作会议和202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年水利监督工作会议精神等内容。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答题成绩在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分（含）以上者可在答题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下载“学时证明”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4学时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（四）奖励及排名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个人优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胜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奖300名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个人优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胜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奖300名，每人奖励100元手机话费，评奖结束后充值到获奖者注册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手机号码。如果满分人数超过300人，从满分人员中随机抽取；如果满分人数未达到300人，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不足人数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按照得分排名依次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满300人为止，得分相同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通过随机抽取方式确定。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单位排名。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对部直属各单位、各省级水行政主管部门按照参赛率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、单位得分等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进行排名。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</w:rPr>
        <w:t>联系方式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邢老师、江老师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联系电话：4001013477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"mailto:aq202206@126.com"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aq202206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126.com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090420" cy="1964690"/>
            <wp:effectExtent l="0" t="0" r="5080" b="16510"/>
            <wp:docPr id="3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shd w:val="clear" w:color="auto" w:fill="auto"/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水利安全生产风险管控“六项机制”网络答题二维码</w:t>
      </w:r>
    </w:p>
    <w:p>
      <w:pPr>
        <w:pageBreakBefore w:val="0"/>
        <w:kinsoku/>
        <w:overflowPunct/>
        <w:topLinePunct w:val="0"/>
        <w:autoSpaceDE/>
        <w:autoSpaceDN/>
        <w:bidi w:val="0"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水利安全生产公益培训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讲座对象</w:t>
      </w:r>
    </w:p>
    <w:p>
      <w:pPr>
        <w:pageBreakBefore w:val="0"/>
        <w:numPr>
          <w:ilvl w:val="-1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部直属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各级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水行政主管部门安全生产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监管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水利生产经营单位相关负责人及工作人员。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讲座时间和方式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年6月1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全天，上午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9:00-1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下午14:30-16:30；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视频直播课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，手机或电脑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" w:eastAsia="zh-CN"/>
        </w:rPr>
        <w:t>登录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网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址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" w:eastAsia="zh-CN"/>
        </w:rPr>
        <w:t>（https://live.xylink.com/live/v/e8H82Hru）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/>
          <w:lang w:val="en"/>
        </w:rPr>
        <w:t>或手机扫描二维码（附后）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可观看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讲座内容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水利安全生产风险管控“六项机制”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水利工程生产安全重大事故隐患判定标准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其他事项</w:t>
      </w:r>
    </w:p>
    <w:p>
      <w:pPr>
        <w:pStyle w:val="8"/>
        <w:pageBreakBefore w:val="0"/>
        <w:widowControl/>
        <w:numPr>
          <w:ilvl w:val="-1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本次培训是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提供的免费服务。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请各有关单位按活动时间安排，结合工作实际，积极组织有关人员参加培训。</w:t>
      </w:r>
    </w:p>
    <w:p>
      <w:pPr>
        <w:pStyle w:val="8"/>
        <w:pageBreakBefore w:val="0"/>
        <w:widowControl/>
        <w:numPr>
          <w:ilvl w:val="-1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2、培训过程中，欢迎大家积极提问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授课结束后将</w:t>
      </w:r>
      <w:r>
        <w:rPr>
          <w:rFonts w:hint="eastAsia" w:ascii="仿宋_GB2312" w:hAnsi="仿宋_GB2312" w:eastAsia="仿宋_GB2312" w:cs="仿宋_GB2312"/>
          <w:sz w:val="32"/>
          <w:szCs w:val="32"/>
        </w:rPr>
        <w:t>由老师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进行交流解答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联系方式</w:t>
      </w:r>
    </w:p>
    <w:p>
      <w:pPr>
        <w:pStyle w:val="8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杨儒佳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010-63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202124</w:t>
      </w:r>
    </w:p>
    <w:p>
      <w:pPr>
        <w:pStyle w:val="8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网络技术支持：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师春光 13466691878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center"/>
        <w:textAlignment w:val="auto"/>
        <w:rPr>
          <w:rFonts w:hint="default" w:ascii="仿宋" w:hAnsi="仿宋" w:eastAsia="仿宋"/>
          <w:color w:val="333333"/>
          <w:sz w:val="32"/>
          <w:szCs w:val="32"/>
          <w:highlight w:val="none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drawing>
          <wp:inline distT="0" distB="0" distL="0" distR="0">
            <wp:extent cx="1536065" cy="1518920"/>
            <wp:effectExtent l="0" t="0" r="6985" b="5080"/>
            <wp:docPr id="10617393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39304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" t="5830" r="8292" b="7331"/>
                    <a:stretch>
                      <a:fillRect/>
                    </a:stretch>
                  </pic:blipFill>
                  <pic:spPr>
                    <a:xfrm>
                      <a:off x="0" y="0"/>
                      <a:ext cx="1552388" cy="15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>水利安全生产公益培训描二维码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四、《水安将军》趣味知识网络竞赛活动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活动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部直属各单位、地方各级水行政主管部门、水利生产经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营单位的干部和职工，以及前述单位所关联的企业、农村、社区、学校、家庭的人民群众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  <w:t>下简称“五进”人员）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（二）时间和方式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6月10日前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完成单位或个人注册。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6月11日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6：00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至6月30日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23：00为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竞赛期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通过微信扫描二维码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关注公众号（附后）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搜索登陆“水安将军”小程序，完成授权和信息注册后，参与答题竞赛活动。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单位需提前扫描二维码，填写准确的单位全称、信用代码、地区等信息完成注册（“五进”人员单位无需注册）。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个人注册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实名制注册，通过微信小程序在“玩家信息”里完善姓名、单位、地区等信息。通过搜索关键字选择单位信息，搜索不到的，请先完成单位注册。“五进”人员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在工作单位里选择关联的水利单位，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“五进”注册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，竞赛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得分计入关联的水利单位总分。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习近平总书记关于安全生产重要论述、安全生产法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安全生产治本攻坚三年行动、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水利安全生产风险管控“六项机制”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安全生产责任保险、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隐患排查治理、防灾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减灾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、应急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、避险逃生、自救互救、公共安全等安全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知识。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（四）奖励及排名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个人奖200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个，其中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一等奖10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二等奖20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三等奖50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优胜奖120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个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，每个奖金200元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/>
        </w:rPr>
        <w:t>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设参与奖100个（每个奖金200元），满足竞赛分超过50分的具有抽奖资格，由系统随机抽奖产生。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对参赛人员、参赛单位及参赛地区将按照规则进行排名，公布竞赛排名结果。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1、大禹节水集团股份有限公司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 系 人：冯思雨、周扬帆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手机号码：18210405038、13586124480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instrText xml:space="preserve"> HYPERLINK "mailto:1149711747@qq.com、2707763623@qq.com"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1149711747@qq.com、2707763623@qq.com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中国水利企业协会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人：陈守愚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联系电话：010-63204898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QQ交流群：811549474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105165699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675924509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仿宋" w:hAnsi="仿宋" w:eastAsia="宋体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1468755" cy="1468755"/>
            <wp:effectExtent l="0" t="0" r="17145" b="17145"/>
            <wp:docPr id="8" name="图片 2" descr="C:\Users\Administrator\Desktop\微信图片_2020051722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C:\Users\Administrator\Desktop\微信图片_20200517224359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drawing>
          <wp:inline distT="0" distB="0" distL="114300" distR="114300">
            <wp:extent cx="1470660" cy="1461135"/>
            <wp:effectExtent l="0" t="0" r="15240" b="5715"/>
            <wp:docPr id="7" name="图片 3" descr="6b39e3c985b9ef3dd30aa14544782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6b39e3c985b9ef3dd30aa14544782fa"/>
                    <pic:cNvPicPr>
                      <a:picLocks noChangeAspect="1"/>
                    </pic:cNvPicPr>
                  </pic:nvPicPr>
                  <pic:blipFill>
                    <a:blip r:embed="rId8"/>
                    <a:srcRect b="23637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1473835" cy="1478280"/>
            <wp:effectExtent l="0" t="0" r="12065" b="7620"/>
            <wp:docPr id="5" name="图片 4" descr="协会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协会公众号二维码"/>
                    <pic:cNvPicPr>
                      <a:picLocks noChangeAspect="1"/>
                    </pic:cNvPicPr>
                  </pic:nvPicPr>
                  <pic:blipFill>
                    <a:blip r:embed="rId9"/>
                    <a:srcRect l="2884" t="3366" r="4327" b="3366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《水安将军》登陆码  参赛单位注册码  协会公众号登录码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五、水利安全生产短视频征集活动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（一）征集范围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短视频征集活动以水利安全生产风险管控“六项机制”为主题，面向水利行业及全社会开展，政府机关、科研院所、企事业单位、学会协会、团队及个人均可参加。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（二）活动时间和方式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1、时间。6月5日—8月31日为作品征集阶段。9月1日—9月30日为作品评审阶段。10月公布获奖结果并开展优秀作品展播。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2、方式。活动参与者在作品征集阶段拍摄制作短视频，发布到抖音APP，具体流程如下：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视频制作：作品保证原创，符合短视频传播特点，鼓励作品创新。评选优先考虑为本活动专题制作的作品。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视频上传：拍摄剪辑完成后上传到抖音账号，并为创作的短视频作品命名。发布时请在文案编辑中添加话题词“#水利安全+作品名”，请务必加“#”。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作品报送：参赛作品需上传至抖音平台，同时将参赛回执通过电子邮件发送至活动联系邮箱。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（三）作品要求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1、内容要求：以水利安全生产风险查找、研判、预警、防范、处置、责任等“六项机制”为主题开展水利安全生产案例视频创作，作品以小见大、以点带面，以案释法、案例育人，在客观事实的基础上，适度增强故事性和艺术性，适合新媒体传播，旨在让水利行业从业人员及社会大众了解安全生产工作，共同关注守护水利安全生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2、格式要求：高清MP4。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3、作品形式：不限体裁、不限语言。单个作品时长3分钟以内（超出3分钟作品无效）；分集作品（同一作品名）每集时长不超过3分钟，总集数不超过3集；支持横屏竖屏多种形式。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4、制作要求：采用手机或电脑软件均可，剪辑后严禁带有任何软件的水印Logo；推荐单位、提交单位、参赛单位、作者单位、作者个人名称或Logo等文图信息除在片尾可集中体现外，不可在片中任何时段出现，且时长不超过3秒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（四）奖励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活动设置一等奖作品3部（奖金各3000元）、二等奖作品5部（奖金各2000元）、三等奖作品10部（奖金各1000元）,优秀作品若干。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（五）活动须知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1、提交作品须为原创作品，要求画面清晰，时长符合活动要求；内容须积极健康向上，符合国家法律法规规定，无政治、宗教问题，无色情、暴力、血腥等不良内容。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2、参与活动个人、团队及选送单位须确保拥有所提交作品的著作权。因作品侵权或其他原因引起纠纷，由活动参与方承担。对活动产生不良影响的，活动参与方有责任积极消除影响。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3、自作品提交之日起，主办、承办单位即拥有获奖作品的使用权，包括但不限于在网络平台播放、印制相关宣传品、进行内容的二次改编等。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4、活动组委会将通过抖音平台、电子邮件等方式与获奖单位/个人取得联系，如未获奖则不另行通知。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5、凡提交作品参加活动，即视为承认并接受以上条款。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6、主办承办单位拥有对活动的最终解释权。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（六）联系方式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联系人：王勤熙  010-68545986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 xml:space="preserve">        石青泉  010-63202124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联系邮箱：3194277554@qq.com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"/>
        </w:rPr>
        <w:t>短视频参赛回执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单位名称：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 xml:space="preserve">             联系人及电话：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</w:t>
      </w:r>
    </w:p>
    <w:tbl>
      <w:tblPr>
        <w:tblStyle w:val="9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73"/>
        <w:gridCol w:w="2250"/>
        <w:gridCol w:w="925"/>
        <w:gridCol w:w="151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作品链接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（抖音视频链接）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作者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作者单位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仿宋" w:hAnsi="仿宋" w:eastAsia="仿宋"/>
          <w:color w:val="333333"/>
          <w:sz w:val="32"/>
          <w:szCs w:val="32"/>
          <w:highlight w:val="none"/>
          <w:lang w:val="en"/>
        </w:rPr>
      </w:pPr>
      <w:r>
        <w:rPr>
          <w:rFonts w:hint="eastAsia" w:ascii="仿宋_GB2312" w:hAnsi="等线" w:eastAsia="仿宋_GB2312" w:cs="仿宋_GB2312"/>
          <w:kern w:val="2"/>
          <w:sz w:val="21"/>
          <w:szCs w:val="21"/>
          <w:lang w:val="en-US" w:eastAsia="zh-CN" w:bidi="ar"/>
        </w:rPr>
        <w:t>注：可按照本表格模式自行增加行数，务必提交活动回执电子版至邮箱3585556718@qq</w:t>
      </w:r>
      <w:r>
        <w:rPr>
          <w:rFonts w:hint="eastAsia" w:ascii="仿宋_GB2312" w:hAnsi="等线" w:eastAsia="仿宋_GB2312" w:cs="Times New Roman"/>
          <w:kern w:val="2"/>
          <w:sz w:val="21"/>
          <w:szCs w:val="21"/>
          <w:lang w:val="en-US" w:eastAsia="zh-CN" w:bidi="ar"/>
        </w:rPr>
        <w:t>.com</w:t>
      </w:r>
      <w:r>
        <w:rPr>
          <w:rFonts w:hint="eastAsia" w:ascii="仿宋_GB2312" w:hAnsi="等线" w:eastAsia="仿宋_GB2312" w:cs="仿宋_GB2312"/>
          <w:kern w:val="2"/>
          <w:sz w:val="21"/>
          <w:szCs w:val="21"/>
          <w:lang w:val="en-US" w:eastAsia="zh-CN" w:bidi="ar"/>
        </w:rPr>
        <w:t>。邮件标题命名格式：水利安全+报送单位名称+作品名，标题格式不对视为无效报送。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DdmYTUzMmZkNGUxNjIyZmVjNTI1NDFlNzY0Y2MifQ=="/>
    <w:docVar w:name="KSO_WPS_MARK_KEY" w:val="05553195-5177-4f0f-b1ac-2743bf0ba2b6"/>
  </w:docVars>
  <w:rsids>
    <w:rsidRoot w:val="4A1947CF"/>
    <w:rsid w:val="28BD3E07"/>
    <w:rsid w:val="2D7F8449"/>
    <w:rsid w:val="358F0032"/>
    <w:rsid w:val="373E2A9A"/>
    <w:rsid w:val="37EF61D7"/>
    <w:rsid w:val="3DAF38D6"/>
    <w:rsid w:val="3FECDAB4"/>
    <w:rsid w:val="4A1947CF"/>
    <w:rsid w:val="52FFED7D"/>
    <w:rsid w:val="5E3B71B4"/>
    <w:rsid w:val="5E9F502B"/>
    <w:rsid w:val="61BB61E8"/>
    <w:rsid w:val="6726C1E7"/>
    <w:rsid w:val="67F777EE"/>
    <w:rsid w:val="6F53246B"/>
    <w:rsid w:val="6FCC6573"/>
    <w:rsid w:val="6FDFB9E0"/>
    <w:rsid w:val="736BBA79"/>
    <w:rsid w:val="772F93FF"/>
    <w:rsid w:val="77A6FE43"/>
    <w:rsid w:val="79E10ECF"/>
    <w:rsid w:val="7B3FE3E5"/>
    <w:rsid w:val="7D6F86A7"/>
    <w:rsid w:val="7EEFD6BA"/>
    <w:rsid w:val="7EFD9A06"/>
    <w:rsid w:val="7FB3A477"/>
    <w:rsid w:val="7FBE050B"/>
    <w:rsid w:val="7FEC37B5"/>
    <w:rsid w:val="7FFF9926"/>
    <w:rsid w:val="93FF1818"/>
    <w:rsid w:val="973791D9"/>
    <w:rsid w:val="A7FBED97"/>
    <w:rsid w:val="AEFFDA15"/>
    <w:rsid w:val="B7F72FBF"/>
    <w:rsid w:val="BBAEAE93"/>
    <w:rsid w:val="BBD4B741"/>
    <w:rsid w:val="BCDF084A"/>
    <w:rsid w:val="BDEB5B68"/>
    <w:rsid w:val="BFED7514"/>
    <w:rsid w:val="BFEFBE95"/>
    <w:rsid w:val="C7DE4B3E"/>
    <w:rsid w:val="CF5B998F"/>
    <w:rsid w:val="CFEFB705"/>
    <w:rsid w:val="DBFDBAD9"/>
    <w:rsid w:val="DEBF909B"/>
    <w:rsid w:val="DEF32246"/>
    <w:rsid w:val="E38EF1DF"/>
    <w:rsid w:val="E6D84637"/>
    <w:rsid w:val="E9AF5A8F"/>
    <w:rsid w:val="EFFD1735"/>
    <w:rsid w:val="F7B537D7"/>
    <w:rsid w:val="F9E5EF1D"/>
    <w:rsid w:val="FAEF6BEB"/>
    <w:rsid w:val="FAFCFFA8"/>
    <w:rsid w:val="FB9FE3C6"/>
    <w:rsid w:val="FBF6C21C"/>
    <w:rsid w:val="FBFEE255"/>
    <w:rsid w:val="FBFFFBC0"/>
    <w:rsid w:val="FDBB1234"/>
    <w:rsid w:val="FDF30157"/>
    <w:rsid w:val="FEDF0E58"/>
    <w:rsid w:val="FF7DA886"/>
    <w:rsid w:val="FFCB7D94"/>
    <w:rsid w:val="FFDBC89D"/>
    <w:rsid w:val="FFEFA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next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2018-07-16T23:11:00Z</dcterms:created>
  <dc:creator>d</dc:creator>
  <cp:lastModifiedBy>FroGG</cp:lastModifiedBy>
  <cp:lastPrinted>2024-05-17T12:08:00Z</cp:lastPrinted>
  <dcterms:modified xsi:type="dcterms:W3CDTF">2024-05-28T01:23:23Z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4D3D8E423D036F87BEBD4A66E236A673</vt:lpwstr>
  </property>
</Properties>
</file>